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120" w:rsidRPr="00614A82" w:rsidRDefault="008C6D9A" w:rsidP="00614A82">
      <w:pPr>
        <w:spacing w:line="276" w:lineRule="auto"/>
        <w:rPr>
          <w:color w:val="403152" w:themeColor="accent4" w:themeShade="80"/>
          <w:sz w:val="22"/>
          <w:szCs w:val="22"/>
        </w:rPr>
      </w:pPr>
      <w:bookmarkStart w:id="0" w:name="_GoBack"/>
      <w:bookmarkEnd w:id="0"/>
      <w:r w:rsidRPr="00614A82">
        <w:rPr>
          <w:color w:val="403152" w:themeColor="accent4" w:themeShade="80"/>
          <w:sz w:val="22"/>
          <w:szCs w:val="22"/>
        </w:rPr>
        <w:t xml:space="preserve">Jacky Lieberman </w:t>
      </w:r>
    </w:p>
    <w:p w:rsidR="008C6D9A" w:rsidRPr="00614A82" w:rsidRDefault="008C6D9A" w:rsidP="00614A82">
      <w:pPr>
        <w:spacing w:line="276" w:lineRule="auto"/>
        <w:rPr>
          <w:color w:val="403152" w:themeColor="accent4" w:themeShade="80"/>
          <w:sz w:val="22"/>
          <w:szCs w:val="22"/>
        </w:rPr>
      </w:pPr>
      <w:r w:rsidRPr="00614A82">
        <w:rPr>
          <w:color w:val="403152" w:themeColor="accent4" w:themeShade="80"/>
          <w:sz w:val="22"/>
          <w:szCs w:val="22"/>
        </w:rPr>
        <w:t xml:space="preserve">Isabella Birmingham </w:t>
      </w:r>
    </w:p>
    <w:p w:rsidR="008C6D9A" w:rsidRPr="00614A82" w:rsidRDefault="008C6D9A" w:rsidP="00614A82">
      <w:pPr>
        <w:spacing w:line="276" w:lineRule="auto"/>
        <w:rPr>
          <w:color w:val="403152" w:themeColor="accent4" w:themeShade="80"/>
          <w:sz w:val="22"/>
          <w:szCs w:val="22"/>
        </w:rPr>
      </w:pPr>
      <w:proofErr w:type="spellStart"/>
      <w:r w:rsidRPr="00614A82">
        <w:rPr>
          <w:color w:val="403152" w:themeColor="accent4" w:themeShade="80"/>
          <w:sz w:val="22"/>
          <w:szCs w:val="22"/>
        </w:rPr>
        <w:t>Evy</w:t>
      </w:r>
      <w:proofErr w:type="spellEnd"/>
      <w:r w:rsidRPr="00614A82">
        <w:rPr>
          <w:color w:val="403152" w:themeColor="accent4" w:themeShade="80"/>
          <w:sz w:val="22"/>
          <w:szCs w:val="22"/>
        </w:rPr>
        <w:t xml:space="preserve"> Sans</w:t>
      </w:r>
    </w:p>
    <w:p w:rsidR="008C6D9A" w:rsidRPr="00614A82" w:rsidRDefault="008C6D9A" w:rsidP="00614A82">
      <w:pPr>
        <w:spacing w:line="276" w:lineRule="auto"/>
        <w:rPr>
          <w:color w:val="403152" w:themeColor="accent4" w:themeShade="80"/>
          <w:sz w:val="22"/>
          <w:szCs w:val="22"/>
        </w:rPr>
      </w:pPr>
      <w:r w:rsidRPr="00614A82">
        <w:rPr>
          <w:color w:val="403152" w:themeColor="accent4" w:themeShade="80"/>
          <w:sz w:val="22"/>
          <w:szCs w:val="22"/>
        </w:rPr>
        <w:t xml:space="preserve">Danielle </w:t>
      </w:r>
      <w:proofErr w:type="spellStart"/>
      <w:r w:rsidRPr="00614A82">
        <w:rPr>
          <w:color w:val="403152" w:themeColor="accent4" w:themeShade="80"/>
          <w:sz w:val="22"/>
          <w:szCs w:val="22"/>
        </w:rPr>
        <w:t>DeRamon</w:t>
      </w:r>
      <w:proofErr w:type="spellEnd"/>
    </w:p>
    <w:p w:rsidR="008C6D9A" w:rsidRPr="00614A82" w:rsidRDefault="008C6D9A" w:rsidP="00614A82">
      <w:pPr>
        <w:spacing w:line="276" w:lineRule="auto"/>
        <w:rPr>
          <w:color w:val="403152" w:themeColor="accent4" w:themeShade="80"/>
          <w:sz w:val="22"/>
          <w:szCs w:val="22"/>
        </w:rPr>
      </w:pPr>
      <w:r w:rsidRPr="00614A82">
        <w:rPr>
          <w:color w:val="403152" w:themeColor="accent4" w:themeShade="80"/>
          <w:sz w:val="22"/>
          <w:szCs w:val="22"/>
        </w:rPr>
        <w:t>Dana Bassan</w:t>
      </w:r>
    </w:p>
    <w:p w:rsidR="008C6D9A" w:rsidRPr="00614A82" w:rsidRDefault="008C6D9A" w:rsidP="00614A82">
      <w:pPr>
        <w:spacing w:line="276" w:lineRule="auto"/>
        <w:rPr>
          <w:color w:val="403152" w:themeColor="accent4" w:themeShade="80"/>
          <w:sz w:val="22"/>
          <w:szCs w:val="22"/>
        </w:rPr>
      </w:pPr>
    </w:p>
    <w:p w:rsidR="008C6D9A" w:rsidRPr="00614A82" w:rsidRDefault="008C6D9A" w:rsidP="00614A82">
      <w:pPr>
        <w:spacing w:line="276" w:lineRule="auto"/>
        <w:jc w:val="center"/>
        <w:rPr>
          <w:color w:val="403152" w:themeColor="accent4" w:themeShade="80"/>
          <w:sz w:val="22"/>
          <w:szCs w:val="22"/>
        </w:rPr>
      </w:pPr>
      <w:r w:rsidRPr="00614A82">
        <w:rPr>
          <w:color w:val="403152" w:themeColor="accent4" w:themeShade="80"/>
          <w:sz w:val="22"/>
          <w:szCs w:val="22"/>
        </w:rPr>
        <w:t>Roe vs. Wade</w:t>
      </w:r>
    </w:p>
    <w:p w:rsidR="008C6D9A" w:rsidRPr="00614A82" w:rsidRDefault="008C6D9A" w:rsidP="00614A82">
      <w:pPr>
        <w:spacing w:line="276" w:lineRule="auto"/>
        <w:rPr>
          <w:color w:val="403152" w:themeColor="accent4" w:themeShade="80"/>
          <w:sz w:val="22"/>
          <w:szCs w:val="22"/>
        </w:rPr>
      </w:pPr>
    </w:p>
    <w:p w:rsidR="008C6D9A" w:rsidRPr="00614A82" w:rsidRDefault="008C6D9A" w:rsidP="00614A82">
      <w:pPr>
        <w:pStyle w:val="ListParagraph"/>
        <w:numPr>
          <w:ilvl w:val="0"/>
          <w:numId w:val="2"/>
        </w:numPr>
        <w:spacing w:line="276" w:lineRule="auto"/>
        <w:rPr>
          <w:color w:val="403152" w:themeColor="accent4" w:themeShade="80"/>
          <w:sz w:val="22"/>
          <w:szCs w:val="22"/>
        </w:rPr>
      </w:pPr>
      <w:r w:rsidRPr="00614A82">
        <w:rPr>
          <w:color w:val="403152" w:themeColor="accent4" w:themeShade="80"/>
          <w:sz w:val="22"/>
          <w:szCs w:val="22"/>
        </w:rPr>
        <w:t>Case Name: Roe vs. Wade</w:t>
      </w:r>
    </w:p>
    <w:p w:rsidR="008C6D9A" w:rsidRPr="00614A82" w:rsidRDefault="008C6D9A" w:rsidP="00614A82">
      <w:pPr>
        <w:pStyle w:val="ListParagraph"/>
        <w:numPr>
          <w:ilvl w:val="0"/>
          <w:numId w:val="2"/>
        </w:numPr>
        <w:spacing w:line="276" w:lineRule="auto"/>
        <w:rPr>
          <w:color w:val="403152" w:themeColor="accent4" w:themeShade="80"/>
          <w:sz w:val="22"/>
          <w:szCs w:val="22"/>
        </w:rPr>
      </w:pPr>
      <w:r w:rsidRPr="00614A82">
        <w:rPr>
          <w:color w:val="403152" w:themeColor="accent4" w:themeShade="80"/>
          <w:sz w:val="22"/>
          <w:szCs w:val="22"/>
        </w:rPr>
        <w:t>Date:</w:t>
      </w:r>
      <w:r w:rsidRPr="00614A82">
        <w:rPr>
          <w:rFonts w:eastAsia="Times New Roman" w:cs="Times New Roman"/>
          <w:color w:val="403152" w:themeColor="accent4" w:themeShade="80"/>
          <w:sz w:val="22"/>
          <w:szCs w:val="22"/>
        </w:rPr>
        <w:t xml:space="preserve"> Began 1971, Decided January 22, 1973</w:t>
      </w:r>
    </w:p>
    <w:p w:rsidR="008C6D9A" w:rsidRPr="00614A82" w:rsidRDefault="008C6D9A" w:rsidP="00614A82">
      <w:pPr>
        <w:pStyle w:val="ListParagraph"/>
        <w:numPr>
          <w:ilvl w:val="0"/>
          <w:numId w:val="2"/>
        </w:numPr>
        <w:spacing w:line="276" w:lineRule="auto"/>
        <w:rPr>
          <w:color w:val="403152" w:themeColor="accent4" w:themeShade="80"/>
          <w:sz w:val="22"/>
          <w:szCs w:val="22"/>
        </w:rPr>
      </w:pPr>
      <w:r w:rsidRPr="00614A82">
        <w:rPr>
          <w:color w:val="403152" w:themeColor="accent4" w:themeShade="80"/>
          <w:sz w:val="22"/>
          <w:szCs w:val="22"/>
        </w:rPr>
        <w:t>Appellant: Jane Roe</w:t>
      </w:r>
    </w:p>
    <w:p w:rsidR="008C6D9A" w:rsidRPr="00614A82" w:rsidRDefault="008C6D9A" w:rsidP="00614A82">
      <w:pPr>
        <w:pStyle w:val="ListParagraph"/>
        <w:numPr>
          <w:ilvl w:val="0"/>
          <w:numId w:val="2"/>
        </w:numPr>
        <w:spacing w:line="276" w:lineRule="auto"/>
        <w:rPr>
          <w:color w:val="403152" w:themeColor="accent4" w:themeShade="80"/>
          <w:sz w:val="22"/>
          <w:szCs w:val="22"/>
        </w:rPr>
      </w:pPr>
      <w:r w:rsidRPr="00614A82">
        <w:rPr>
          <w:color w:val="403152" w:themeColor="accent4" w:themeShade="80"/>
          <w:sz w:val="22"/>
          <w:szCs w:val="22"/>
        </w:rPr>
        <w:t>Appellee: Henry Wade District Attorney for Dallas County</w:t>
      </w:r>
    </w:p>
    <w:p w:rsidR="008C6D9A" w:rsidRPr="00614A82" w:rsidRDefault="008C6D9A" w:rsidP="00614A82">
      <w:pPr>
        <w:pStyle w:val="ListParagraph"/>
        <w:numPr>
          <w:ilvl w:val="0"/>
          <w:numId w:val="2"/>
        </w:numPr>
        <w:spacing w:line="276" w:lineRule="auto"/>
        <w:rPr>
          <w:color w:val="403152" w:themeColor="accent4" w:themeShade="80"/>
          <w:sz w:val="22"/>
          <w:szCs w:val="22"/>
        </w:rPr>
      </w:pPr>
      <w:r w:rsidRPr="00614A82">
        <w:rPr>
          <w:color w:val="403152" w:themeColor="accent4" w:themeShade="80"/>
          <w:sz w:val="22"/>
          <w:szCs w:val="22"/>
        </w:rPr>
        <w:t>Facts:</w:t>
      </w:r>
    </w:p>
    <w:p w:rsidR="008C6D9A" w:rsidRPr="00614A82" w:rsidRDefault="008C6D9A" w:rsidP="00614A82">
      <w:pPr>
        <w:pStyle w:val="NormalWeb"/>
        <w:spacing w:line="276" w:lineRule="auto"/>
        <w:ind w:left="720"/>
        <w:rPr>
          <w:rFonts w:asciiTheme="minorHAnsi" w:hAnsiTheme="minorHAnsi"/>
          <w:color w:val="403152" w:themeColor="accent4" w:themeShade="80"/>
          <w:sz w:val="22"/>
          <w:szCs w:val="22"/>
        </w:rPr>
      </w:pPr>
      <w:r w:rsidRPr="00614A82">
        <w:rPr>
          <w:rFonts w:asciiTheme="minorHAnsi" w:hAnsiTheme="minorHAnsi"/>
          <w:color w:val="403152" w:themeColor="accent4" w:themeShade="80"/>
          <w:sz w:val="22"/>
          <w:szCs w:val="22"/>
        </w:rPr>
        <w:t>Roe (P), a pregnant single woman, brought a class action suit challenging the constitutionality of the Texas abortion laws. These laws made it a crime to obtain or attempt an abortion except on medical advice to save the life of the mother.</w:t>
      </w:r>
    </w:p>
    <w:p w:rsidR="008C6D9A" w:rsidRPr="00614A82" w:rsidRDefault="008C6D9A" w:rsidP="00614A82">
      <w:pPr>
        <w:pStyle w:val="NormalWeb"/>
        <w:spacing w:line="276" w:lineRule="auto"/>
        <w:ind w:left="720"/>
        <w:rPr>
          <w:rFonts w:asciiTheme="minorHAnsi" w:hAnsiTheme="minorHAnsi"/>
          <w:color w:val="403152" w:themeColor="accent4" w:themeShade="80"/>
          <w:sz w:val="22"/>
          <w:szCs w:val="22"/>
        </w:rPr>
      </w:pPr>
      <w:r w:rsidRPr="00614A82">
        <w:rPr>
          <w:rFonts w:asciiTheme="minorHAnsi" w:hAnsiTheme="minorHAnsi"/>
          <w:color w:val="403152" w:themeColor="accent4" w:themeShade="80"/>
          <w:sz w:val="22"/>
          <w:szCs w:val="22"/>
        </w:rPr>
        <w:t xml:space="preserve">Other plaintiffs in the lawsuit included </w:t>
      </w:r>
      <w:proofErr w:type="spellStart"/>
      <w:r w:rsidRPr="00614A82">
        <w:rPr>
          <w:rFonts w:asciiTheme="minorHAnsi" w:hAnsiTheme="minorHAnsi"/>
          <w:color w:val="403152" w:themeColor="accent4" w:themeShade="80"/>
          <w:sz w:val="22"/>
          <w:szCs w:val="22"/>
        </w:rPr>
        <w:t>Hallford</w:t>
      </w:r>
      <w:proofErr w:type="spellEnd"/>
      <w:r w:rsidRPr="00614A82">
        <w:rPr>
          <w:rFonts w:asciiTheme="minorHAnsi" w:hAnsiTheme="minorHAnsi"/>
          <w:color w:val="403152" w:themeColor="accent4" w:themeShade="80"/>
          <w:sz w:val="22"/>
          <w:szCs w:val="22"/>
        </w:rPr>
        <w:t>, a doctor who faced criminal prosecution for violating the state abortion laws; and the Does, a married couple with no children, who sought an injunction against enforcement of the laws on the grounds that they were unconstitutional. The defendant was county District Attorney Wade (D).</w:t>
      </w:r>
    </w:p>
    <w:p w:rsidR="008C6D9A" w:rsidRPr="00614A82" w:rsidRDefault="008C6D9A" w:rsidP="00614A82">
      <w:pPr>
        <w:pStyle w:val="NormalWeb"/>
        <w:spacing w:line="276" w:lineRule="auto"/>
        <w:ind w:left="720"/>
        <w:rPr>
          <w:rFonts w:asciiTheme="minorHAnsi" w:hAnsiTheme="minorHAnsi"/>
          <w:color w:val="403152" w:themeColor="accent4" w:themeShade="80"/>
          <w:sz w:val="22"/>
          <w:szCs w:val="22"/>
        </w:rPr>
      </w:pPr>
      <w:r w:rsidRPr="00614A82">
        <w:rPr>
          <w:rFonts w:asciiTheme="minorHAnsi" w:hAnsiTheme="minorHAnsi"/>
          <w:color w:val="403152" w:themeColor="accent4" w:themeShade="80"/>
          <w:sz w:val="22"/>
          <w:szCs w:val="22"/>
        </w:rPr>
        <w:t xml:space="preserve">The Does appealed directly to the Supreme Court of the United States and Wade cross-appealed the district court’s judgment in favor of Roe and </w:t>
      </w:r>
      <w:proofErr w:type="spellStart"/>
      <w:r w:rsidRPr="00614A82">
        <w:rPr>
          <w:rFonts w:asciiTheme="minorHAnsi" w:hAnsiTheme="minorHAnsi"/>
          <w:color w:val="403152" w:themeColor="accent4" w:themeShade="80"/>
          <w:sz w:val="22"/>
          <w:szCs w:val="22"/>
        </w:rPr>
        <w:t>Hallford</w:t>
      </w:r>
      <w:proofErr w:type="spellEnd"/>
      <w:r w:rsidRPr="00614A82">
        <w:rPr>
          <w:rFonts w:asciiTheme="minorHAnsi" w:hAnsiTheme="minorHAnsi"/>
          <w:color w:val="403152" w:themeColor="accent4" w:themeShade="80"/>
          <w:sz w:val="22"/>
          <w:szCs w:val="22"/>
        </w:rPr>
        <w:t>.</w:t>
      </w:r>
    </w:p>
    <w:p w:rsidR="008C6D9A" w:rsidRPr="00614A82" w:rsidRDefault="008C6D9A" w:rsidP="00614A82">
      <w:pPr>
        <w:pStyle w:val="ListParagraph"/>
        <w:spacing w:line="276" w:lineRule="auto"/>
        <w:rPr>
          <w:color w:val="403152" w:themeColor="accent4" w:themeShade="80"/>
          <w:sz w:val="22"/>
          <w:szCs w:val="22"/>
        </w:rPr>
      </w:pPr>
    </w:p>
    <w:p w:rsidR="008C6D9A" w:rsidRPr="00614A82" w:rsidRDefault="008C6D9A" w:rsidP="00614A82">
      <w:pPr>
        <w:pStyle w:val="ListParagraph"/>
        <w:numPr>
          <w:ilvl w:val="0"/>
          <w:numId w:val="2"/>
        </w:numPr>
        <w:spacing w:line="276" w:lineRule="auto"/>
        <w:rPr>
          <w:color w:val="403152" w:themeColor="accent4" w:themeShade="80"/>
          <w:sz w:val="22"/>
          <w:szCs w:val="22"/>
        </w:rPr>
      </w:pPr>
      <w:r w:rsidRPr="00614A82">
        <w:rPr>
          <w:color w:val="403152" w:themeColor="accent4" w:themeShade="80"/>
          <w:sz w:val="22"/>
          <w:szCs w:val="22"/>
        </w:rPr>
        <w:t>Decision of the Lower Court</w:t>
      </w:r>
    </w:p>
    <w:p w:rsidR="008C6D9A" w:rsidRPr="00614A82" w:rsidRDefault="008C6D9A" w:rsidP="00614A82">
      <w:pPr>
        <w:pStyle w:val="NormalWeb"/>
        <w:spacing w:line="276" w:lineRule="auto"/>
        <w:ind w:left="720"/>
        <w:rPr>
          <w:rFonts w:asciiTheme="minorHAnsi" w:hAnsiTheme="minorHAnsi"/>
          <w:color w:val="403152" w:themeColor="accent4" w:themeShade="80"/>
          <w:sz w:val="22"/>
          <w:szCs w:val="22"/>
        </w:rPr>
      </w:pPr>
      <w:r w:rsidRPr="00614A82">
        <w:rPr>
          <w:rFonts w:asciiTheme="minorHAnsi" w:hAnsiTheme="minorHAnsi"/>
          <w:color w:val="403152" w:themeColor="accent4" w:themeShade="80"/>
          <w:sz w:val="22"/>
          <w:szCs w:val="22"/>
        </w:rPr>
        <w:t xml:space="preserve">A three-judge District Court panel tried the cases together and held that Roe and </w:t>
      </w:r>
      <w:proofErr w:type="spellStart"/>
      <w:r w:rsidRPr="00614A82">
        <w:rPr>
          <w:rFonts w:asciiTheme="minorHAnsi" w:hAnsiTheme="minorHAnsi"/>
          <w:color w:val="403152" w:themeColor="accent4" w:themeShade="80"/>
          <w:sz w:val="22"/>
          <w:szCs w:val="22"/>
        </w:rPr>
        <w:t>Hallford</w:t>
      </w:r>
      <w:proofErr w:type="spellEnd"/>
      <w:r w:rsidRPr="00614A82">
        <w:rPr>
          <w:rFonts w:asciiTheme="minorHAnsi" w:hAnsiTheme="minorHAnsi"/>
          <w:color w:val="403152" w:themeColor="accent4" w:themeShade="80"/>
          <w:sz w:val="22"/>
          <w:szCs w:val="22"/>
        </w:rPr>
        <w:t xml:space="preserve"> had standing to sue and presented justiciable controversies, and that declaratory relief was warranted. The court also ruled however that injunctive relief was not warranted and that the Does’ complaint was not justiciable.</w:t>
      </w:r>
    </w:p>
    <w:p w:rsidR="008C6D9A" w:rsidRPr="00614A82" w:rsidRDefault="00614A82" w:rsidP="00614A82">
      <w:pPr>
        <w:pStyle w:val="ListParagraph"/>
        <w:spacing w:line="276" w:lineRule="auto"/>
        <w:rPr>
          <w:rFonts w:eastAsia="Times New Roman" w:cs="Times New Roman"/>
          <w:color w:val="403152" w:themeColor="accent4" w:themeShade="80"/>
          <w:sz w:val="22"/>
          <w:szCs w:val="22"/>
        </w:rPr>
      </w:pPr>
      <w:r w:rsidRPr="00614A82">
        <w:rPr>
          <w:rFonts w:eastAsia="Times New Roman" w:cs="Times New Roman"/>
          <w:color w:val="403152" w:themeColor="accent4" w:themeShade="80"/>
          <w:sz w:val="22"/>
          <w:szCs w:val="22"/>
        </w:rPr>
        <w:t xml:space="preserve">The district court ruled in </w:t>
      </w:r>
      <w:proofErr w:type="spellStart"/>
      <w:r w:rsidRPr="00614A82">
        <w:rPr>
          <w:rFonts w:eastAsia="Times New Roman" w:cs="Times New Roman"/>
          <w:color w:val="403152" w:themeColor="accent4" w:themeShade="80"/>
          <w:sz w:val="22"/>
          <w:szCs w:val="22"/>
        </w:rPr>
        <w:t>McCorvey's</w:t>
      </w:r>
      <w:proofErr w:type="spellEnd"/>
      <w:r w:rsidRPr="00614A82">
        <w:rPr>
          <w:rFonts w:eastAsia="Times New Roman" w:cs="Times New Roman"/>
          <w:color w:val="403152" w:themeColor="accent4" w:themeShade="80"/>
          <w:sz w:val="22"/>
          <w:szCs w:val="22"/>
        </w:rPr>
        <w:t xml:space="preserve"> favor on the </w:t>
      </w:r>
      <w:hyperlink r:id="rId6" w:tooltip="Merit (legal)" w:history="1">
        <w:r w:rsidRPr="00614A82">
          <w:rPr>
            <w:rStyle w:val="Hyperlink"/>
            <w:rFonts w:eastAsia="Times New Roman" w:cs="Times New Roman"/>
            <w:color w:val="403152" w:themeColor="accent4" w:themeShade="80"/>
            <w:sz w:val="22"/>
            <w:szCs w:val="22"/>
            <w:u w:val="none"/>
          </w:rPr>
          <w:t>legal merits</w:t>
        </w:r>
      </w:hyperlink>
      <w:r w:rsidRPr="00614A82">
        <w:rPr>
          <w:rFonts w:eastAsia="Times New Roman" w:cs="Times New Roman"/>
          <w:color w:val="403152" w:themeColor="accent4" w:themeShade="80"/>
          <w:sz w:val="22"/>
          <w:szCs w:val="22"/>
        </w:rPr>
        <w:t xml:space="preserve"> of her case, but declined to grant an </w:t>
      </w:r>
      <w:hyperlink r:id="rId7" w:tooltip="Injunction" w:history="1">
        <w:r w:rsidRPr="00614A82">
          <w:rPr>
            <w:rStyle w:val="Hyperlink"/>
            <w:rFonts w:eastAsia="Times New Roman" w:cs="Times New Roman"/>
            <w:color w:val="403152" w:themeColor="accent4" w:themeShade="80"/>
            <w:sz w:val="22"/>
            <w:szCs w:val="22"/>
            <w:u w:val="none"/>
          </w:rPr>
          <w:t>injunction</w:t>
        </w:r>
      </w:hyperlink>
      <w:r w:rsidRPr="00614A82">
        <w:rPr>
          <w:rFonts w:eastAsia="Times New Roman" w:cs="Times New Roman"/>
          <w:color w:val="403152" w:themeColor="accent4" w:themeShade="80"/>
          <w:sz w:val="22"/>
          <w:szCs w:val="22"/>
        </w:rPr>
        <w:t xml:space="preserve"> against the enforcement of the laws barring abortion. The district court's decision was based upon the </w:t>
      </w:r>
      <w:hyperlink r:id="rId8" w:tooltip="Ninth Amendment to the United States Constitution" w:history="1">
        <w:r w:rsidRPr="00614A82">
          <w:rPr>
            <w:rStyle w:val="Hyperlink"/>
            <w:rFonts w:eastAsia="Times New Roman" w:cs="Times New Roman"/>
            <w:color w:val="403152" w:themeColor="accent4" w:themeShade="80"/>
            <w:sz w:val="22"/>
            <w:szCs w:val="22"/>
            <w:u w:val="none"/>
          </w:rPr>
          <w:t>9th Amendment</w:t>
        </w:r>
      </w:hyperlink>
      <w:r w:rsidRPr="00614A82">
        <w:rPr>
          <w:rFonts w:eastAsia="Times New Roman" w:cs="Times New Roman"/>
          <w:color w:val="403152" w:themeColor="accent4" w:themeShade="80"/>
          <w:sz w:val="22"/>
          <w:szCs w:val="22"/>
        </w:rPr>
        <w:t xml:space="preserve">, and the court relied upon a concurring opinion by Justice </w:t>
      </w:r>
      <w:hyperlink r:id="rId9" w:tooltip="Arthur Goldberg" w:history="1">
        <w:r w:rsidRPr="00614A82">
          <w:rPr>
            <w:rStyle w:val="Hyperlink"/>
            <w:rFonts w:eastAsia="Times New Roman" w:cs="Times New Roman"/>
            <w:color w:val="403152" w:themeColor="accent4" w:themeShade="80"/>
            <w:sz w:val="22"/>
            <w:szCs w:val="22"/>
            <w:u w:val="none"/>
          </w:rPr>
          <w:t>Arthur Goldberg</w:t>
        </w:r>
      </w:hyperlink>
      <w:r w:rsidRPr="00614A82">
        <w:rPr>
          <w:rFonts w:eastAsia="Times New Roman" w:cs="Times New Roman"/>
          <w:color w:val="403152" w:themeColor="accent4" w:themeShade="80"/>
          <w:sz w:val="22"/>
          <w:szCs w:val="22"/>
        </w:rPr>
        <w:t xml:space="preserve"> in the 1965 Supreme Court case of </w:t>
      </w:r>
      <w:hyperlink r:id="rId10" w:tooltip="Griswold v. Connecticut" w:history="1">
        <w:r w:rsidRPr="00614A82">
          <w:rPr>
            <w:rStyle w:val="Hyperlink"/>
            <w:rFonts w:eastAsia="Times New Roman" w:cs="Times New Roman"/>
            <w:iCs/>
            <w:color w:val="403152" w:themeColor="accent4" w:themeShade="80"/>
            <w:sz w:val="22"/>
            <w:szCs w:val="22"/>
            <w:u w:val="none"/>
          </w:rPr>
          <w:t>Griswold v. Connecticut</w:t>
        </w:r>
      </w:hyperlink>
      <w:r w:rsidRPr="00614A82">
        <w:rPr>
          <w:rFonts w:eastAsia="Times New Roman" w:cs="Times New Roman"/>
          <w:color w:val="403152" w:themeColor="accent4" w:themeShade="80"/>
          <w:sz w:val="22"/>
          <w:szCs w:val="22"/>
        </w:rPr>
        <w:t>.</w:t>
      </w:r>
    </w:p>
    <w:p w:rsidR="00614A82" w:rsidRPr="00614A82" w:rsidRDefault="00614A82" w:rsidP="00614A82">
      <w:pPr>
        <w:pStyle w:val="ListParagraph"/>
        <w:spacing w:line="276" w:lineRule="auto"/>
        <w:rPr>
          <w:color w:val="403152" w:themeColor="accent4" w:themeShade="80"/>
          <w:sz w:val="22"/>
          <w:szCs w:val="22"/>
        </w:rPr>
      </w:pPr>
    </w:p>
    <w:p w:rsidR="008C6D9A" w:rsidRPr="00614A82" w:rsidRDefault="008C6D9A" w:rsidP="00614A82">
      <w:pPr>
        <w:pStyle w:val="ListParagraph"/>
        <w:numPr>
          <w:ilvl w:val="0"/>
          <w:numId w:val="2"/>
        </w:numPr>
        <w:spacing w:line="276" w:lineRule="auto"/>
        <w:rPr>
          <w:color w:val="403152" w:themeColor="accent4" w:themeShade="80"/>
          <w:sz w:val="22"/>
          <w:szCs w:val="22"/>
        </w:rPr>
      </w:pPr>
      <w:r w:rsidRPr="00614A82">
        <w:rPr>
          <w:color w:val="403152" w:themeColor="accent4" w:themeShade="80"/>
          <w:sz w:val="22"/>
          <w:szCs w:val="22"/>
        </w:rPr>
        <w:t>Legal aspects of the case</w:t>
      </w:r>
    </w:p>
    <w:p w:rsidR="00614A82" w:rsidRPr="00614A82" w:rsidRDefault="00614A82" w:rsidP="00614A82">
      <w:pPr>
        <w:pStyle w:val="ListParagraph"/>
        <w:spacing w:line="276" w:lineRule="auto"/>
        <w:rPr>
          <w:color w:val="403152" w:themeColor="accent4" w:themeShade="80"/>
          <w:sz w:val="22"/>
          <w:szCs w:val="22"/>
        </w:rPr>
      </w:pPr>
    </w:p>
    <w:p w:rsidR="008C6D9A" w:rsidRPr="00614A82" w:rsidRDefault="00614A82" w:rsidP="00614A82">
      <w:pPr>
        <w:spacing w:line="276" w:lineRule="auto"/>
        <w:ind w:left="720"/>
        <w:rPr>
          <w:color w:val="403152" w:themeColor="accent4" w:themeShade="80"/>
          <w:sz w:val="22"/>
          <w:szCs w:val="22"/>
        </w:rPr>
      </w:pPr>
      <w:r w:rsidRPr="00614A82">
        <w:rPr>
          <w:color w:val="403152" w:themeColor="accent4" w:themeShade="80"/>
          <w:sz w:val="22"/>
          <w:szCs w:val="22"/>
        </w:rPr>
        <w:t>Supreme Court g</w:t>
      </w:r>
      <w:r w:rsidR="008C6D9A" w:rsidRPr="00614A82">
        <w:rPr>
          <w:color w:val="403152" w:themeColor="accent4" w:themeShade="80"/>
          <w:sz w:val="22"/>
          <w:szCs w:val="22"/>
        </w:rPr>
        <w:t xml:space="preserve">ranted cert because it involved a constitutional </w:t>
      </w:r>
      <w:r w:rsidRPr="00614A82">
        <w:rPr>
          <w:color w:val="403152" w:themeColor="accent4" w:themeShade="80"/>
          <w:sz w:val="22"/>
          <w:szCs w:val="22"/>
        </w:rPr>
        <w:t xml:space="preserve">issue </w:t>
      </w:r>
      <w:r w:rsidR="008C6D9A" w:rsidRPr="00614A82">
        <w:rPr>
          <w:color w:val="403152" w:themeColor="accent4" w:themeShade="80"/>
          <w:sz w:val="22"/>
          <w:szCs w:val="22"/>
        </w:rPr>
        <w:t>in figment in state laws. The constitutional</w:t>
      </w:r>
      <w:r w:rsidRPr="00614A82">
        <w:rPr>
          <w:color w:val="403152" w:themeColor="accent4" w:themeShade="80"/>
          <w:sz w:val="22"/>
          <w:szCs w:val="22"/>
        </w:rPr>
        <w:t xml:space="preserve"> r</w:t>
      </w:r>
      <w:r w:rsidR="008C6D9A" w:rsidRPr="00614A82">
        <w:rPr>
          <w:color w:val="403152" w:themeColor="accent4" w:themeShade="80"/>
          <w:sz w:val="22"/>
          <w:szCs w:val="22"/>
        </w:rPr>
        <w:t xml:space="preserve">ights in dispute were the </w:t>
      </w:r>
    </w:p>
    <w:p w:rsidR="008C6D9A" w:rsidRPr="00614A82" w:rsidRDefault="00614A82" w:rsidP="00614A82">
      <w:pPr>
        <w:pStyle w:val="ListParagraph"/>
        <w:spacing w:line="276" w:lineRule="auto"/>
        <w:rPr>
          <w:color w:val="403152" w:themeColor="accent4" w:themeShade="80"/>
          <w:sz w:val="22"/>
          <w:szCs w:val="22"/>
        </w:rPr>
      </w:pPr>
      <w:r w:rsidRPr="00614A82">
        <w:rPr>
          <w:color w:val="403152" w:themeColor="accent4" w:themeShade="80"/>
          <w:sz w:val="22"/>
          <w:szCs w:val="22"/>
        </w:rPr>
        <w:lastRenderedPageBreak/>
        <w:t>14</w:t>
      </w:r>
      <w:r w:rsidR="008C6D9A" w:rsidRPr="00614A82">
        <w:rPr>
          <w:color w:val="403152" w:themeColor="accent4" w:themeShade="80"/>
          <w:sz w:val="22"/>
          <w:szCs w:val="22"/>
          <w:vertAlign w:val="superscript"/>
        </w:rPr>
        <w:t>th</w:t>
      </w:r>
      <w:r w:rsidR="008C6D9A" w:rsidRPr="00614A82">
        <w:rPr>
          <w:color w:val="403152" w:themeColor="accent4" w:themeShade="80"/>
          <w:sz w:val="22"/>
          <w:szCs w:val="22"/>
        </w:rPr>
        <w:t xml:space="preserve"> amendments women have a right to freedom of choice, and 3</w:t>
      </w:r>
      <w:r w:rsidR="008C6D9A" w:rsidRPr="00614A82">
        <w:rPr>
          <w:color w:val="403152" w:themeColor="accent4" w:themeShade="80"/>
          <w:sz w:val="22"/>
          <w:szCs w:val="22"/>
          <w:vertAlign w:val="superscript"/>
        </w:rPr>
        <w:t>rd</w:t>
      </w:r>
      <w:r w:rsidR="008C6D9A" w:rsidRPr="00614A82">
        <w:rPr>
          <w:color w:val="403152" w:themeColor="accent4" w:themeShade="80"/>
          <w:sz w:val="22"/>
          <w:szCs w:val="22"/>
        </w:rPr>
        <w:t xml:space="preserve"> amendment involved from </w:t>
      </w:r>
      <w:r w:rsidRPr="00614A82">
        <w:rPr>
          <w:color w:val="403152" w:themeColor="accent4" w:themeShade="80"/>
          <w:sz w:val="22"/>
          <w:szCs w:val="22"/>
        </w:rPr>
        <w:t xml:space="preserve">freedom in the issue with </w:t>
      </w:r>
      <w:proofErr w:type="spellStart"/>
      <w:r w:rsidRPr="00614A82">
        <w:rPr>
          <w:color w:val="403152" w:themeColor="accent4" w:themeShade="80"/>
          <w:sz w:val="22"/>
          <w:szCs w:val="22"/>
        </w:rPr>
        <w:t>Hallford</w:t>
      </w:r>
      <w:proofErr w:type="spellEnd"/>
      <w:r w:rsidRPr="00614A82">
        <w:rPr>
          <w:color w:val="403152" w:themeColor="accent4" w:themeShade="80"/>
          <w:sz w:val="22"/>
          <w:szCs w:val="22"/>
        </w:rPr>
        <w:t xml:space="preserve">. </w:t>
      </w:r>
    </w:p>
    <w:p w:rsidR="008C6D9A" w:rsidRPr="00614A82" w:rsidRDefault="008C6D9A" w:rsidP="00614A82">
      <w:pPr>
        <w:pStyle w:val="ListParagraph"/>
        <w:spacing w:line="276" w:lineRule="auto"/>
        <w:rPr>
          <w:color w:val="403152" w:themeColor="accent4" w:themeShade="80"/>
          <w:sz w:val="22"/>
          <w:szCs w:val="22"/>
        </w:rPr>
      </w:pPr>
    </w:p>
    <w:p w:rsidR="008C6D9A" w:rsidRPr="00614A82" w:rsidRDefault="00614A82" w:rsidP="00614A82">
      <w:pPr>
        <w:pStyle w:val="ListParagraph"/>
        <w:numPr>
          <w:ilvl w:val="0"/>
          <w:numId w:val="2"/>
        </w:numPr>
        <w:spacing w:line="276" w:lineRule="auto"/>
        <w:rPr>
          <w:color w:val="403152" w:themeColor="accent4" w:themeShade="80"/>
          <w:sz w:val="22"/>
          <w:szCs w:val="22"/>
        </w:rPr>
      </w:pPr>
      <w:r w:rsidRPr="00614A82">
        <w:rPr>
          <w:color w:val="403152" w:themeColor="accent4" w:themeShade="80"/>
          <w:sz w:val="22"/>
          <w:szCs w:val="22"/>
        </w:rPr>
        <w:t xml:space="preserve">Decision of the supreme court </w:t>
      </w:r>
    </w:p>
    <w:p w:rsidR="00614A82" w:rsidRPr="00614A82" w:rsidRDefault="00614A82" w:rsidP="00614A82">
      <w:pPr>
        <w:pStyle w:val="NormalWeb"/>
        <w:spacing w:line="276" w:lineRule="auto"/>
        <w:ind w:left="720"/>
        <w:rPr>
          <w:rFonts w:asciiTheme="minorHAnsi" w:hAnsiTheme="minorHAnsi"/>
          <w:color w:val="403152" w:themeColor="accent4" w:themeShade="80"/>
          <w:sz w:val="22"/>
          <w:szCs w:val="22"/>
        </w:rPr>
      </w:pPr>
      <w:r w:rsidRPr="00614A82">
        <w:rPr>
          <w:rFonts w:asciiTheme="minorHAnsi" w:hAnsiTheme="minorHAnsi"/>
          <w:color w:val="403152" w:themeColor="accent4" w:themeShade="80"/>
          <w:sz w:val="22"/>
          <w:szCs w:val="22"/>
        </w:rPr>
        <w:t>The Court held that, in regard to abortions during the first trimester, the decision must be left to the judgment of the pregnant woman’s doctor. In regard to second trimester pregnancies, states may promote their interests in the mother’s health by regulating abortion procedures related to the health of the mother. Regarding third trimester pregnancies, states may promote their interests in the potentiality of human life by regulating or even prohibiting abortion, except when necessary to preserve the life or health of the mother.</w:t>
      </w:r>
    </w:p>
    <w:p w:rsidR="00614A82" w:rsidRPr="00614A82" w:rsidRDefault="00614A82" w:rsidP="00614A82">
      <w:pPr>
        <w:pStyle w:val="NormalWeb"/>
        <w:spacing w:line="276" w:lineRule="auto"/>
        <w:ind w:left="720"/>
        <w:rPr>
          <w:rFonts w:asciiTheme="minorHAnsi" w:hAnsiTheme="minorHAnsi"/>
          <w:color w:val="403152" w:themeColor="accent4" w:themeShade="80"/>
          <w:sz w:val="22"/>
          <w:szCs w:val="22"/>
        </w:rPr>
      </w:pPr>
      <w:r w:rsidRPr="00614A82">
        <w:rPr>
          <w:rFonts w:asciiTheme="minorHAnsi" w:hAnsiTheme="minorHAnsi"/>
          <w:color w:val="403152" w:themeColor="accent4" w:themeShade="80"/>
          <w:sz w:val="22"/>
          <w:szCs w:val="22"/>
        </w:rPr>
        <w:t>The Supreme Court held that litigation involving pregnancy, which is “capable of repetition, yet evading review,” is an exception to the general rule that an actual controversy must exist at each stage of judicial review, and not merely when the action is initiated.</w:t>
      </w:r>
    </w:p>
    <w:p w:rsidR="00614A82" w:rsidRPr="00614A82" w:rsidRDefault="00614A82" w:rsidP="00614A82">
      <w:pPr>
        <w:pStyle w:val="NormalWeb"/>
        <w:spacing w:line="276" w:lineRule="auto"/>
        <w:ind w:left="720"/>
        <w:rPr>
          <w:rFonts w:asciiTheme="minorHAnsi" w:hAnsiTheme="minorHAnsi"/>
          <w:color w:val="403152" w:themeColor="accent4" w:themeShade="80"/>
          <w:sz w:val="22"/>
          <w:szCs w:val="22"/>
        </w:rPr>
      </w:pPr>
      <w:r w:rsidRPr="00614A82">
        <w:rPr>
          <w:rFonts w:asciiTheme="minorHAnsi" w:hAnsiTheme="minorHAnsi"/>
          <w:color w:val="403152" w:themeColor="accent4" w:themeShade="80"/>
          <w:sz w:val="22"/>
          <w:szCs w:val="22"/>
        </w:rPr>
        <w:t>The Court held that while 28 U.S.C. § 1253 does not authorize a party seeking only declaratory relief to appeal directly to the Supreme Court, review is not foreclosed when the case is brought on appeal from specific denial of injunctive relief and the arguments on the issues of both injunctive and declaratory relief are necessarily identical.</w:t>
      </w:r>
    </w:p>
    <w:p w:rsidR="00614A82" w:rsidRPr="00614A82" w:rsidRDefault="00614A82" w:rsidP="00614A82">
      <w:pPr>
        <w:pStyle w:val="ListParagraph"/>
        <w:spacing w:line="276" w:lineRule="auto"/>
        <w:rPr>
          <w:rFonts w:eastAsia="Times New Roman" w:cs="Times New Roman"/>
          <w:color w:val="403152" w:themeColor="accent4" w:themeShade="80"/>
          <w:sz w:val="22"/>
          <w:szCs w:val="22"/>
        </w:rPr>
      </w:pPr>
      <w:r w:rsidRPr="00614A82">
        <w:rPr>
          <w:rFonts w:eastAsia="Times New Roman" w:cs="Times New Roman"/>
          <w:color w:val="403152" w:themeColor="accent4" w:themeShade="80"/>
          <w:sz w:val="22"/>
          <w:szCs w:val="22"/>
        </w:rPr>
        <w:t xml:space="preserve">The Supreme Court chose to base its decision on the </w:t>
      </w:r>
      <w:hyperlink r:id="rId11" w:history="1">
        <w:r w:rsidRPr="00614A82">
          <w:rPr>
            <w:rStyle w:val="Hyperlink"/>
            <w:rFonts w:eastAsia="Times New Roman" w:cs="Times New Roman"/>
            <w:color w:val="403152" w:themeColor="accent4" w:themeShade="80"/>
            <w:sz w:val="22"/>
            <w:szCs w:val="22"/>
            <w:u w:val="none"/>
          </w:rPr>
          <w:t>Fourteenth Amendment</w:t>
        </w:r>
      </w:hyperlink>
      <w:r w:rsidRPr="00614A82">
        <w:rPr>
          <w:rFonts w:eastAsia="Times New Roman" w:cs="Times New Roman"/>
          <w:color w:val="403152" w:themeColor="accent4" w:themeShade="80"/>
          <w:sz w:val="22"/>
          <w:szCs w:val="22"/>
        </w:rPr>
        <w:t xml:space="preserve">. </w:t>
      </w:r>
      <w:hyperlink r:id="rId12" w:history="1">
        <w:r w:rsidRPr="00614A82">
          <w:rPr>
            <w:rStyle w:val="Hyperlink"/>
            <w:rFonts w:eastAsia="Times New Roman" w:cs="Times New Roman"/>
            <w:color w:val="403152" w:themeColor="accent4" w:themeShade="80"/>
            <w:sz w:val="22"/>
            <w:szCs w:val="22"/>
            <w:u w:val="none"/>
          </w:rPr>
          <w:t>Roe v. Wade was decided</w:t>
        </w:r>
      </w:hyperlink>
      <w:r w:rsidRPr="00614A82">
        <w:rPr>
          <w:rFonts w:eastAsia="Times New Roman" w:cs="Times New Roman"/>
          <w:color w:val="403152" w:themeColor="accent4" w:themeShade="80"/>
          <w:sz w:val="22"/>
          <w:szCs w:val="22"/>
        </w:rPr>
        <w:t xml:space="preserve"> primarily on the Due Process Clause of the Fourteenth Amendment to the United States Constitution. A criminal statute that did not take into account the stage of pregnancy or other interests than the life of the mother was deemed a violation of Due Process.</w:t>
      </w:r>
    </w:p>
    <w:p w:rsidR="00614A82" w:rsidRPr="00614A82" w:rsidRDefault="00614A82" w:rsidP="00614A82">
      <w:pPr>
        <w:pStyle w:val="ListParagraph"/>
        <w:spacing w:line="276" w:lineRule="auto"/>
        <w:rPr>
          <w:rFonts w:eastAsia="Times New Roman" w:cs="Times New Roman"/>
          <w:color w:val="403152" w:themeColor="accent4" w:themeShade="80"/>
          <w:sz w:val="22"/>
          <w:szCs w:val="22"/>
        </w:rPr>
      </w:pPr>
      <w:r w:rsidRPr="00614A82">
        <w:rPr>
          <w:rFonts w:eastAsia="Times New Roman" w:cs="Times New Roman"/>
          <w:color w:val="403152" w:themeColor="accent4" w:themeShade="80"/>
          <w:sz w:val="22"/>
          <w:szCs w:val="22"/>
        </w:rPr>
        <w:t>The use of the 9</w:t>
      </w:r>
      <w:r w:rsidRPr="00614A82">
        <w:rPr>
          <w:rFonts w:eastAsia="Times New Roman" w:cs="Times New Roman"/>
          <w:color w:val="403152" w:themeColor="accent4" w:themeShade="80"/>
          <w:sz w:val="22"/>
          <w:szCs w:val="22"/>
          <w:vertAlign w:val="superscript"/>
        </w:rPr>
        <w:t>th</w:t>
      </w:r>
      <w:r w:rsidRPr="00614A82">
        <w:rPr>
          <w:rFonts w:eastAsia="Times New Roman" w:cs="Times New Roman"/>
          <w:color w:val="403152" w:themeColor="accent4" w:themeShade="80"/>
          <w:sz w:val="22"/>
          <w:szCs w:val="22"/>
        </w:rPr>
        <w:t xml:space="preserve"> amendment involves a loose interpretation of the rest of the amendments to make this decision</w:t>
      </w:r>
    </w:p>
    <w:p w:rsidR="00614A82" w:rsidRPr="00614A82" w:rsidRDefault="00614A82" w:rsidP="00614A82">
      <w:pPr>
        <w:pStyle w:val="ListParagraph"/>
        <w:spacing w:line="276" w:lineRule="auto"/>
        <w:rPr>
          <w:color w:val="403152" w:themeColor="accent4" w:themeShade="80"/>
          <w:sz w:val="22"/>
          <w:szCs w:val="22"/>
        </w:rPr>
      </w:pPr>
    </w:p>
    <w:p w:rsidR="00614A82" w:rsidRPr="00614A82" w:rsidRDefault="00614A82" w:rsidP="00614A82">
      <w:pPr>
        <w:pStyle w:val="ListParagraph"/>
        <w:numPr>
          <w:ilvl w:val="0"/>
          <w:numId w:val="2"/>
        </w:numPr>
        <w:spacing w:line="276" w:lineRule="auto"/>
        <w:rPr>
          <w:color w:val="403152" w:themeColor="accent4" w:themeShade="80"/>
          <w:sz w:val="22"/>
          <w:szCs w:val="22"/>
        </w:rPr>
      </w:pPr>
      <w:r w:rsidRPr="00614A82">
        <w:rPr>
          <w:color w:val="403152" w:themeColor="accent4" w:themeShade="80"/>
          <w:sz w:val="22"/>
          <w:szCs w:val="22"/>
        </w:rPr>
        <w:t>The Rule of Precedent</w:t>
      </w:r>
    </w:p>
    <w:p w:rsidR="00614A82" w:rsidRPr="00614A82" w:rsidRDefault="00614A82" w:rsidP="00614A82">
      <w:pPr>
        <w:pStyle w:val="ListParagraph"/>
        <w:spacing w:line="276" w:lineRule="auto"/>
        <w:rPr>
          <w:color w:val="403152" w:themeColor="accent4" w:themeShade="80"/>
          <w:sz w:val="22"/>
          <w:szCs w:val="22"/>
        </w:rPr>
      </w:pPr>
    </w:p>
    <w:p w:rsidR="00614A82" w:rsidRPr="00614A82" w:rsidRDefault="00614A82" w:rsidP="00614A82">
      <w:pPr>
        <w:pStyle w:val="ListParagraph"/>
        <w:spacing w:line="276" w:lineRule="auto"/>
        <w:rPr>
          <w:rFonts w:eastAsia="Times New Roman" w:cs="Times New Roman"/>
          <w:color w:val="403152" w:themeColor="accent4" w:themeShade="80"/>
          <w:sz w:val="22"/>
          <w:szCs w:val="22"/>
        </w:rPr>
      </w:pPr>
      <w:r w:rsidRPr="00614A82">
        <w:rPr>
          <w:color w:val="403152" w:themeColor="accent4" w:themeShade="80"/>
          <w:sz w:val="22"/>
          <w:szCs w:val="22"/>
        </w:rPr>
        <w:t xml:space="preserve">In Lower Courts: ruled by </w:t>
      </w:r>
      <w:hyperlink r:id="rId13" w:tooltip="Griswold v. Connecticut" w:history="1">
        <w:r w:rsidRPr="00614A82">
          <w:rPr>
            <w:rStyle w:val="Hyperlink"/>
            <w:rFonts w:eastAsia="Times New Roman" w:cs="Times New Roman"/>
            <w:iCs/>
            <w:color w:val="403152" w:themeColor="accent4" w:themeShade="80"/>
            <w:sz w:val="22"/>
            <w:szCs w:val="22"/>
            <w:u w:val="none"/>
          </w:rPr>
          <w:t>Griswold v. Connecticut</w:t>
        </w:r>
      </w:hyperlink>
      <w:r w:rsidRPr="00614A82">
        <w:rPr>
          <w:rFonts w:eastAsia="Times New Roman" w:cs="Times New Roman"/>
          <w:color w:val="403152" w:themeColor="accent4" w:themeShade="80"/>
          <w:sz w:val="22"/>
          <w:szCs w:val="22"/>
        </w:rPr>
        <w:t>.</w:t>
      </w:r>
    </w:p>
    <w:p w:rsidR="00614A82" w:rsidRPr="00614A82" w:rsidRDefault="00614A82" w:rsidP="00614A82">
      <w:pPr>
        <w:pStyle w:val="ListParagraph"/>
        <w:spacing w:line="276" w:lineRule="auto"/>
        <w:rPr>
          <w:color w:val="403152" w:themeColor="accent4" w:themeShade="80"/>
          <w:sz w:val="22"/>
          <w:szCs w:val="22"/>
        </w:rPr>
      </w:pPr>
      <w:r w:rsidRPr="00614A82">
        <w:rPr>
          <w:color w:val="403152" w:themeColor="accent4" w:themeShade="80"/>
          <w:sz w:val="22"/>
          <w:szCs w:val="22"/>
        </w:rPr>
        <w:t xml:space="preserve">In Supreme Court: ruled by </w:t>
      </w:r>
      <w:r w:rsidRPr="00614A82">
        <w:rPr>
          <w:rStyle w:val="st"/>
          <w:rFonts w:eastAsia="Times New Roman" w:cs="Times New Roman"/>
          <w:color w:val="403152" w:themeColor="accent4" w:themeShade="80"/>
          <w:sz w:val="22"/>
          <w:szCs w:val="22"/>
        </w:rPr>
        <w:t xml:space="preserve">Griswold and </w:t>
      </w:r>
      <w:proofErr w:type="spellStart"/>
      <w:r w:rsidRPr="00614A82">
        <w:rPr>
          <w:rStyle w:val="st"/>
          <w:rFonts w:eastAsia="Times New Roman" w:cs="Times New Roman"/>
          <w:color w:val="403152" w:themeColor="accent4" w:themeShade="80"/>
          <w:sz w:val="22"/>
          <w:szCs w:val="22"/>
        </w:rPr>
        <w:t>Eisenstadt</w:t>
      </w:r>
      <w:proofErr w:type="spellEnd"/>
    </w:p>
    <w:p w:rsidR="008C6D9A" w:rsidRPr="00614A82" w:rsidRDefault="008C6D9A" w:rsidP="00614A82">
      <w:pPr>
        <w:spacing w:line="276" w:lineRule="auto"/>
        <w:ind w:left="720"/>
        <w:rPr>
          <w:color w:val="403152" w:themeColor="accent4" w:themeShade="80"/>
          <w:sz w:val="22"/>
          <w:szCs w:val="22"/>
        </w:rPr>
      </w:pPr>
    </w:p>
    <w:sectPr w:rsidR="008C6D9A" w:rsidRPr="00614A82" w:rsidSect="00B6212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merican Typewriter">
    <w:charset w:val="00"/>
    <w:family w:val="auto"/>
    <w:pitch w:val="variable"/>
    <w:sig w:usb0="A000006F" w:usb1="00000019" w:usb2="00000000" w:usb3="00000000" w:csb0="000001FB"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05819"/>
    <w:multiLevelType w:val="hybridMultilevel"/>
    <w:tmpl w:val="133EA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FA29FE"/>
    <w:multiLevelType w:val="multilevel"/>
    <w:tmpl w:val="04090027"/>
    <w:styleLink w:val="worldhistory"/>
    <w:lvl w:ilvl="0">
      <w:start w:val="1"/>
      <w:numFmt w:val="upperRoman"/>
      <w:lvlText w:val="%1."/>
      <w:lvlJc w:val="left"/>
      <w:pPr>
        <w:ind w:left="0" w:firstLine="0"/>
      </w:pPr>
      <w:rPr>
        <w:rFonts w:ascii="American Typewriter" w:hAnsi="American Typewriter"/>
        <w:color w:val="000000" w:themeColor="text1"/>
      </w:rPr>
    </w:lvl>
    <w:lvl w:ilvl="1">
      <w:start w:val="1"/>
      <w:numFmt w:val="upperLetter"/>
      <w:lvlText w:val="%2."/>
      <w:lvlJc w:val="left"/>
      <w:pPr>
        <w:ind w:left="720" w:firstLine="0"/>
      </w:pPr>
      <w:rPr>
        <w:rFonts w:ascii="American Typewriter" w:hAnsi="American Typewriter"/>
      </w:rPr>
    </w:lvl>
    <w:lvl w:ilvl="2">
      <w:start w:val="1"/>
      <w:numFmt w:val="decimal"/>
      <w:lvlText w:val="%3."/>
      <w:lvlJc w:val="left"/>
      <w:pPr>
        <w:ind w:left="1440" w:firstLine="0"/>
      </w:pPr>
      <w:rPr>
        <w:rFonts w:ascii="American Typewriter" w:hAnsi="American Typewriter"/>
      </w:rPr>
    </w:lvl>
    <w:lvl w:ilvl="3">
      <w:start w:val="1"/>
      <w:numFmt w:val="lowerLetter"/>
      <w:lvlText w:val="%4)"/>
      <w:lvlJc w:val="left"/>
      <w:pPr>
        <w:ind w:left="2160" w:firstLine="0"/>
      </w:pPr>
      <w:rPr>
        <w:rFonts w:ascii="American Typewriter" w:hAnsi="American Typewriter"/>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D9A"/>
    <w:rsid w:val="00614A82"/>
    <w:rsid w:val="008C6D9A"/>
    <w:rsid w:val="00A41BC0"/>
    <w:rsid w:val="00B62120"/>
    <w:rsid w:val="00DA0F8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orldhistory">
    <w:name w:val="world history"/>
    <w:uiPriority w:val="99"/>
    <w:rsid w:val="00A41BC0"/>
    <w:pPr>
      <w:numPr>
        <w:numId w:val="1"/>
      </w:numPr>
    </w:pPr>
  </w:style>
  <w:style w:type="paragraph" w:styleId="ListParagraph">
    <w:name w:val="List Paragraph"/>
    <w:basedOn w:val="Normal"/>
    <w:uiPriority w:val="34"/>
    <w:qFormat/>
    <w:rsid w:val="008C6D9A"/>
    <w:pPr>
      <w:ind w:left="720"/>
      <w:contextualSpacing/>
    </w:pPr>
  </w:style>
  <w:style w:type="paragraph" w:styleId="NormalWeb">
    <w:name w:val="Normal (Web)"/>
    <w:basedOn w:val="Normal"/>
    <w:uiPriority w:val="99"/>
    <w:unhideWhenUsed/>
    <w:rsid w:val="008C6D9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14A82"/>
    <w:rPr>
      <w:color w:val="0000FF"/>
      <w:u w:val="single"/>
    </w:rPr>
  </w:style>
  <w:style w:type="character" w:customStyle="1" w:styleId="st">
    <w:name w:val="st"/>
    <w:basedOn w:val="DefaultParagraphFont"/>
    <w:rsid w:val="00614A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orldhistory">
    <w:name w:val="world history"/>
    <w:uiPriority w:val="99"/>
    <w:rsid w:val="00A41BC0"/>
    <w:pPr>
      <w:numPr>
        <w:numId w:val="1"/>
      </w:numPr>
    </w:pPr>
  </w:style>
  <w:style w:type="paragraph" w:styleId="ListParagraph">
    <w:name w:val="List Paragraph"/>
    <w:basedOn w:val="Normal"/>
    <w:uiPriority w:val="34"/>
    <w:qFormat/>
    <w:rsid w:val="008C6D9A"/>
    <w:pPr>
      <w:ind w:left="720"/>
      <w:contextualSpacing/>
    </w:pPr>
  </w:style>
  <w:style w:type="paragraph" w:styleId="NormalWeb">
    <w:name w:val="Normal (Web)"/>
    <w:basedOn w:val="Normal"/>
    <w:uiPriority w:val="99"/>
    <w:unhideWhenUsed/>
    <w:rsid w:val="008C6D9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14A82"/>
    <w:rPr>
      <w:color w:val="0000FF"/>
      <w:u w:val="single"/>
    </w:rPr>
  </w:style>
  <w:style w:type="character" w:customStyle="1" w:styleId="st">
    <w:name w:val="st"/>
    <w:basedOn w:val="DefaultParagraphFont"/>
    <w:rsid w:val="00614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915054">
      <w:bodyDiv w:val="1"/>
      <w:marLeft w:val="0"/>
      <w:marRight w:val="0"/>
      <w:marTop w:val="0"/>
      <w:marBottom w:val="0"/>
      <w:divBdr>
        <w:top w:val="none" w:sz="0" w:space="0" w:color="auto"/>
        <w:left w:val="none" w:sz="0" w:space="0" w:color="auto"/>
        <w:bottom w:val="none" w:sz="0" w:space="0" w:color="auto"/>
        <w:right w:val="none" w:sz="0" w:space="0" w:color="auto"/>
      </w:divBdr>
    </w:div>
    <w:div w:id="1874802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Ninth_Amendment_to_the_United_States_Constitution" TargetMode="External"/><Relationship Id="rId13" Type="http://schemas.openxmlformats.org/officeDocument/2006/relationships/hyperlink" Target="http://en.wikipedia.org/wiki/Griswold_v._Connecticut" TargetMode="External"/><Relationship Id="rId3" Type="http://schemas.microsoft.com/office/2007/relationships/stylesWithEffects" Target="stylesWithEffects.xml"/><Relationship Id="rId7" Type="http://schemas.openxmlformats.org/officeDocument/2006/relationships/hyperlink" Target="http://en.wikipedia.org/wiki/Injunction" TargetMode="External"/><Relationship Id="rId12" Type="http://schemas.openxmlformats.org/officeDocument/2006/relationships/hyperlink" Target="http://womenshistory.about.com/library/etext/gov/bl_roe_g.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Merit_%28legal%29" TargetMode="External"/><Relationship Id="rId11" Type="http://schemas.openxmlformats.org/officeDocument/2006/relationships/hyperlink" Target="http://womenshistory.about.com/od/laws/a/equal_protec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Griswold_v._Connecticut" TargetMode="External"/><Relationship Id="rId4" Type="http://schemas.openxmlformats.org/officeDocument/2006/relationships/settings" Target="settings.xml"/><Relationship Id="rId9" Type="http://schemas.openxmlformats.org/officeDocument/2006/relationships/hyperlink" Target="http://en.wikipedia.org/wiki/Arthur_Goldbe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Bassan</dc:creator>
  <cp:lastModifiedBy>Robert Crawford</cp:lastModifiedBy>
  <cp:revision>2</cp:revision>
  <dcterms:created xsi:type="dcterms:W3CDTF">2013-12-03T17:33:00Z</dcterms:created>
  <dcterms:modified xsi:type="dcterms:W3CDTF">2013-12-03T17:33:00Z</dcterms:modified>
</cp:coreProperties>
</file>