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978" w:rsidRPr="006B6978" w:rsidRDefault="006B6978" w:rsidP="006B6978">
      <w:pPr>
        <w:pStyle w:val="NormalWeb"/>
        <w:spacing w:before="0" w:beforeAutospacing="0" w:after="0" w:afterAutospacing="0"/>
        <w:jc w:val="center"/>
        <w:textAlignment w:val="baseline"/>
        <w:rPr>
          <w:rFonts w:ascii="Arial" w:hAnsi="Arial" w:cs="Arial"/>
          <w:b/>
          <w:color w:val="000000"/>
          <w:sz w:val="32"/>
          <w:szCs w:val="22"/>
        </w:rPr>
      </w:pPr>
      <w:r w:rsidRPr="006B6978">
        <w:rPr>
          <w:rFonts w:ascii="Arial" w:hAnsi="Arial" w:cs="Arial"/>
          <w:b/>
          <w:color w:val="000000"/>
          <w:sz w:val="32"/>
          <w:szCs w:val="22"/>
        </w:rPr>
        <w:t>Obergefell v. Hodges</w:t>
      </w:r>
    </w:p>
    <w:p w:rsidR="006B6978" w:rsidRPr="006B6978" w:rsidRDefault="006B6978" w:rsidP="006B6978">
      <w:pPr>
        <w:pStyle w:val="NormalWeb"/>
        <w:spacing w:before="0" w:beforeAutospacing="0" w:after="0" w:afterAutospacing="0"/>
        <w:jc w:val="center"/>
        <w:textAlignment w:val="baseline"/>
        <w:rPr>
          <w:rFonts w:ascii="Arial" w:hAnsi="Arial" w:cs="Arial"/>
          <w:b/>
          <w:color w:val="000000"/>
          <w:sz w:val="32"/>
          <w:szCs w:val="22"/>
        </w:rPr>
      </w:pPr>
      <w:r w:rsidRPr="006B6978">
        <w:rPr>
          <w:rFonts w:ascii="Arial" w:hAnsi="Arial" w:cs="Arial"/>
          <w:b/>
          <w:color w:val="000000"/>
          <w:sz w:val="32"/>
          <w:szCs w:val="22"/>
        </w:rPr>
        <w:t>2015</w:t>
      </w: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Appellan</w:t>
      </w:r>
      <w:bookmarkStart w:id="0" w:name="_GoBack"/>
      <w:bookmarkEnd w:id="0"/>
      <w:r w:rsidRPr="00F77863">
        <w:rPr>
          <w:rFonts w:ascii="Arial" w:hAnsi="Arial" w:cs="Arial"/>
          <w:color w:val="000000"/>
          <w:sz w:val="20"/>
          <w:szCs w:val="22"/>
        </w:rPr>
        <w:t>t (Plaintiff) James Obergefell</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The petitioners, 14 same-sex couples and two men whose same-sex partners are deceased, filed suits in Federal District Courts in their home States, claiming that respondent state officials violate the Fourteenth Amendment</w:t>
      </w:r>
    </w:p>
    <w:p w:rsidR="006B6978" w:rsidRPr="00F77863" w:rsidRDefault="006B6978" w:rsidP="006B6978">
      <w:pPr>
        <w:pStyle w:val="NormalWeb"/>
        <w:spacing w:before="0" w:beforeAutospacing="0" w:after="0" w:afterAutospacing="0"/>
        <w:rPr>
          <w:rFonts w:ascii="Arial" w:hAnsi="Arial" w:cs="Arial"/>
          <w:color w:val="000000"/>
          <w:sz w:val="20"/>
          <w:szCs w:val="22"/>
        </w:rPr>
      </w:pPr>
    </w:p>
    <w:p w:rsidR="006B6978" w:rsidRPr="00F77863" w:rsidRDefault="006B6978" w:rsidP="006B6978">
      <w:pPr>
        <w:pStyle w:val="NormalWeb"/>
        <w:spacing w:before="0" w:beforeAutospacing="0" w:after="0" w:afterAutospacing="0"/>
        <w:rPr>
          <w:rFonts w:ascii="Arial" w:hAnsi="Arial" w:cs="Arial"/>
          <w:color w:val="000000"/>
          <w:sz w:val="20"/>
          <w:szCs w:val="22"/>
        </w:rPr>
      </w:pPr>
      <w:r w:rsidRPr="00F77863">
        <w:rPr>
          <w:rFonts w:ascii="Arial" w:hAnsi="Arial" w:cs="Arial"/>
          <w:color w:val="000000"/>
          <w:sz w:val="20"/>
          <w:szCs w:val="22"/>
        </w:rPr>
        <w:t>Apellee (Defendant)</w:t>
      </w:r>
      <w:r w:rsidRPr="00F77863">
        <w:rPr>
          <w:rFonts w:ascii="Arial" w:hAnsi="Arial" w:cs="Arial"/>
          <w:color w:val="000000"/>
          <w:sz w:val="20"/>
          <w:szCs w:val="22"/>
        </w:rPr>
        <w:t xml:space="preserve"> </w:t>
      </w:r>
      <w:r w:rsidRPr="00F77863">
        <w:rPr>
          <w:rFonts w:ascii="Arial" w:hAnsi="Arial" w:cs="Arial"/>
          <w:color w:val="000000"/>
          <w:sz w:val="20"/>
          <w:szCs w:val="22"/>
        </w:rPr>
        <w:t>Richard Hodges, Director of the Ohio Department of Health</w:t>
      </w:r>
    </w:p>
    <w:p w:rsidR="006B6978" w:rsidRPr="00F77863" w:rsidRDefault="006B6978" w:rsidP="006B6978">
      <w:pPr>
        <w:pStyle w:val="NormalWeb"/>
        <w:spacing w:before="0" w:beforeAutospacing="0" w:after="0" w:afterAutospacing="0"/>
        <w:rPr>
          <w:rFonts w:ascii="Arial" w:hAnsi="Arial" w:cs="Arial"/>
          <w:color w:val="000000"/>
          <w:sz w:val="20"/>
          <w:szCs w:val="22"/>
        </w:rPr>
      </w:pPr>
    </w:p>
    <w:p w:rsidR="006B6978" w:rsidRPr="00F77863" w:rsidRDefault="006B6978" w:rsidP="006B6978">
      <w:pPr>
        <w:pStyle w:val="NormalWeb"/>
        <w:spacing w:before="0" w:beforeAutospacing="0" w:after="0" w:afterAutospacing="0"/>
        <w:rPr>
          <w:rFonts w:ascii="Arial" w:hAnsi="Arial" w:cs="Arial"/>
          <w:color w:val="000000"/>
          <w:sz w:val="20"/>
          <w:szCs w:val="22"/>
        </w:rPr>
      </w:pPr>
      <w:r w:rsidRPr="00F77863">
        <w:rPr>
          <w:rFonts w:ascii="Arial" w:hAnsi="Arial" w:cs="Arial"/>
          <w:color w:val="000000"/>
          <w:sz w:val="20"/>
          <w:szCs w:val="22"/>
        </w:rPr>
        <w:t>Facts of the Case</w:t>
      </w:r>
      <w:r w:rsidRPr="00F77863">
        <w:rPr>
          <w:sz w:val="22"/>
        </w:rPr>
        <w:t xml:space="preserve">  </w:t>
      </w:r>
      <w:r w:rsidRPr="00F77863">
        <w:rPr>
          <w:rFonts w:ascii="Arial" w:hAnsi="Arial" w:cs="Arial"/>
          <w:color w:val="000000"/>
          <w:sz w:val="20"/>
          <w:szCs w:val="22"/>
        </w:rPr>
        <w:t xml:space="preserve">groups of same sex couples sued state agencies in Ohio, Michican, Kentucky, and Tennessee to challenge </w:t>
      </w:r>
      <w:r w:rsidRPr="00F77863">
        <w:rPr>
          <w:rFonts w:ascii="Arial" w:hAnsi="Arial" w:cs="Arial"/>
          <w:color w:val="222222"/>
          <w:sz w:val="20"/>
          <w:szCs w:val="22"/>
        </w:rPr>
        <w:t>the constitutionality of those states' bans on same-sex marriage or refusal to recognize legal same-sex marriages Plaintiffs: argued that the states' statutes violated the Equal Protection Clause and Due Process Clause of the Fourteenth Amendment; also claims under the Civil Rights Act</w:t>
      </w:r>
    </w:p>
    <w:p w:rsidR="006B6978" w:rsidRPr="00F77863" w:rsidRDefault="006B6978" w:rsidP="006B6978">
      <w:pPr>
        <w:pStyle w:val="NormalWeb"/>
        <w:spacing w:before="0" w:beforeAutospacing="0" w:after="0" w:afterAutospacing="0"/>
        <w:textAlignment w:val="baseline"/>
        <w:rPr>
          <w:rFonts w:ascii="Arial" w:hAnsi="Arial" w:cs="Arial"/>
          <w:color w:val="222222"/>
          <w:sz w:val="20"/>
          <w:szCs w:val="22"/>
        </w:rPr>
      </w:pP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Decision of the Lower Court Lower Court - United States Court of Appeals for the Sixth Circuit</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Reversed and held that the states' bans on same-sex marriage and refusal to recognize marriages performed in other states did not violate the couples' Fourteenth Amendment rights to equal protection and due process.ruled that gay marriage was illegal (strict construction of the constitution)</w:t>
      </w:r>
    </w:p>
    <w:p w:rsidR="006B6978" w:rsidRPr="00F77863" w:rsidRDefault="006B6978" w:rsidP="006B6978">
      <w:pPr>
        <w:pStyle w:val="NormalWeb"/>
        <w:spacing w:before="0" w:beforeAutospacing="0" w:after="0" w:afterAutospacing="0"/>
        <w:rPr>
          <w:rFonts w:ascii="Arial" w:hAnsi="Arial" w:cs="Arial"/>
          <w:color w:val="000000"/>
          <w:sz w:val="20"/>
          <w:szCs w:val="22"/>
        </w:rPr>
      </w:pP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Legal Aspects of the Case</w:t>
      </w:r>
      <w:r w:rsidRPr="00F77863">
        <w:rPr>
          <w:sz w:val="22"/>
        </w:rPr>
        <w:t xml:space="preserve"> </w:t>
      </w:r>
      <w:r w:rsidRPr="00F77863">
        <w:rPr>
          <w:rFonts w:ascii="Arial" w:hAnsi="Arial" w:cs="Arial"/>
          <w:color w:val="000000"/>
          <w:sz w:val="20"/>
          <w:szCs w:val="22"/>
        </w:rPr>
        <w:t>Petition GRANTED The petitions for writs of certiorari in No. 14-562, No. 14-571, and No. 14-574 are granted. The cases are consolidated and the petitions for writs of certiorari are granted limited to the following questions: 1) Does the Fourteenth Amendment require a state to license a marriage between two people of the same sex? 2) Does the Fourteenth Amendment require a state to recognize a marriage between two people of the same sex when their marriage was lawfully licensed and performed out-of-state?</w:t>
      </w: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 xml:space="preserve">Which Constitutional rights are in dispute? </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Equal Protection Clause</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Due Process Clause</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 xml:space="preserve">First Amendment </w:t>
      </w:r>
    </w:p>
    <w:p w:rsidR="00F77863" w:rsidRPr="00F77863" w:rsidRDefault="00F77863" w:rsidP="006B6978">
      <w:pPr>
        <w:pStyle w:val="NormalWeb"/>
        <w:spacing w:before="0" w:beforeAutospacing="0" w:after="0" w:afterAutospacing="0"/>
        <w:rPr>
          <w:rFonts w:ascii="Arial" w:hAnsi="Arial" w:cs="Arial"/>
          <w:color w:val="000000"/>
          <w:sz w:val="20"/>
          <w:szCs w:val="22"/>
        </w:rPr>
      </w:pP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Decision of the Supreme Court</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Due Process Clause of the Fourteenth Amendment guarantees the right to marry as one of the fundamental liberties it protects, which applies to same-sex couples in the same manner as it does to opposite-sex couples.</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 xml:space="preserve">Because there are no differences between a same-sex union and an opposite-sex union with respect to these principles, the exclusion of same-sex couples from the right to marry violates the Due Process Clause of the Fourteenth Amendment.The Equal Protection Clause of the Fourteenth Amendment also guarantees the right of same-sex couples to marry as the denial of that right would deny same-sex couples equal protection under the law. Marriage rights have traditionally been addressed through both parts of the Fourteenth Amendment, and the same interrelated principles of liberty and equality apply with equal force to these cases; therefore, the Constitution protects the fundamental right of same-sex couples to marry. </w:t>
      </w:r>
      <w:r w:rsidR="00F77863" w:rsidRPr="00F77863">
        <w:rPr>
          <w:rFonts w:ascii="Arial" w:hAnsi="Arial" w:cs="Arial"/>
          <w:color w:val="000000"/>
          <w:sz w:val="20"/>
          <w:szCs w:val="22"/>
        </w:rPr>
        <w:t xml:space="preserve"> </w:t>
      </w:r>
      <w:r w:rsidRPr="00F77863">
        <w:rPr>
          <w:rFonts w:ascii="Arial" w:hAnsi="Arial" w:cs="Arial"/>
          <w:color w:val="000000"/>
          <w:sz w:val="20"/>
          <w:szCs w:val="22"/>
        </w:rPr>
        <w:t>First Amendment protects the rights of religious organizations to adhere to their principles, but it does not allow states to deny same-sex couples the right to marry on the same terms as those for opposite-sex couples.</w:t>
      </w:r>
    </w:p>
    <w:p w:rsidR="00F77863" w:rsidRPr="00F77863" w:rsidRDefault="00F77863" w:rsidP="006B6978">
      <w:pPr>
        <w:pStyle w:val="NormalWeb"/>
        <w:spacing w:before="0" w:beforeAutospacing="0" w:after="0" w:afterAutospacing="0"/>
        <w:rPr>
          <w:rFonts w:ascii="Arial" w:hAnsi="Arial" w:cs="Arial"/>
          <w:color w:val="000000"/>
          <w:sz w:val="20"/>
          <w:szCs w:val="22"/>
        </w:rPr>
      </w:pP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The Rule of Precedent</w:t>
      </w:r>
    </w:p>
    <w:p w:rsidR="006B6978" w:rsidRPr="00F77863" w:rsidRDefault="006B6978" w:rsidP="006B6978">
      <w:pPr>
        <w:pStyle w:val="NormalWeb"/>
        <w:spacing w:before="0" w:beforeAutospacing="0" w:after="0" w:afterAutospacing="0"/>
        <w:rPr>
          <w:sz w:val="22"/>
        </w:rPr>
      </w:pPr>
      <w:r w:rsidRPr="00F77863">
        <w:rPr>
          <w:rFonts w:ascii="Arial" w:hAnsi="Arial" w:cs="Arial"/>
          <w:color w:val="000000"/>
          <w:sz w:val="20"/>
          <w:szCs w:val="22"/>
        </w:rPr>
        <w:t>What is the legal rule which can be applied to similar cases?</w:t>
      </w:r>
    </w:p>
    <w:p w:rsidR="006B6978" w:rsidRPr="00F77863" w:rsidRDefault="006B6978" w:rsidP="006B6978">
      <w:pPr>
        <w:pStyle w:val="NormalWeb"/>
        <w:spacing w:before="0" w:beforeAutospacing="0" w:after="0" w:afterAutospacing="0"/>
        <w:textAlignment w:val="baseline"/>
        <w:rPr>
          <w:rFonts w:ascii="Arial" w:hAnsi="Arial" w:cs="Arial"/>
          <w:color w:val="000000"/>
          <w:sz w:val="20"/>
          <w:szCs w:val="22"/>
        </w:rPr>
      </w:pPr>
      <w:r w:rsidRPr="00F77863">
        <w:rPr>
          <w:rFonts w:ascii="Arial" w:hAnsi="Arial" w:cs="Arial"/>
          <w:color w:val="000000"/>
          <w:sz w:val="20"/>
          <w:szCs w:val="22"/>
        </w:rPr>
        <w:t>Judicial precedent has held that the right to marry is a fundamental liberty because it is inherent to the concept of individual autonomy, it protects the most intimate association between two people, it safeguards children and families by according legal recognition to building a home and raising children, and it has historically been recognized as the keystone of social order.</w:t>
      </w:r>
    </w:p>
    <w:p w:rsidR="00E1142B" w:rsidRPr="00080906" w:rsidRDefault="00E1142B" w:rsidP="006B6978">
      <w:pPr>
        <w:spacing w:after="600" w:line="240" w:lineRule="auto"/>
        <w:ind w:left="-1800"/>
        <w:rPr>
          <w:rFonts w:eastAsia="Times New Roman" w:cs="Times New Roman"/>
          <w:color w:val="000000"/>
        </w:rPr>
      </w:pPr>
    </w:p>
    <w:sectPr w:rsidR="00E1142B" w:rsidRPr="000809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047" w:rsidRDefault="00D35047" w:rsidP="00A87310">
      <w:pPr>
        <w:spacing w:after="0" w:line="240" w:lineRule="auto"/>
      </w:pPr>
      <w:r>
        <w:separator/>
      </w:r>
    </w:p>
  </w:endnote>
  <w:endnote w:type="continuationSeparator" w:id="0">
    <w:p w:rsidR="00D35047" w:rsidRDefault="00D35047" w:rsidP="00A8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047" w:rsidRDefault="00D35047" w:rsidP="00A87310">
      <w:pPr>
        <w:spacing w:after="0" w:line="240" w:lineRule="auto"/>
      </w:pPr>
      <w:r>
        <w:separator/>
      </w:r>
    </w:p>
  </w:footnote>
  <w:footnote w:type="continuationSeparator" w:id="0">
    <w:p w:rsidR="00D35047" w:rsidRDefault="00D35047" w:rsidP="00A8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43A" w:rsidRDefault="0080543A" w:rsidP="00BD74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26809"/>
    <w:multiLevelType w:val="multilevel"/>
    <w:tmpl w:val="DDE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C100D"/>
    <w:multiLevelType w:val="multilevel"/>
    <w:tmpl w:val="EB54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60C85"/>
    <w:multiLevelType w:val="multilevel"/>
    <w:tmpl w:val="6FA0B2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DF12BEC"/>
    <w:multiLevelType w:val="multilevel"/>
    <w:tmpl w:val="540CB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06FF"/>
    <w:multiLevelType w:val="multilevel"/>
    <w:tmpl w:val="42FA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A3494"/>
    <w:multiLevelType w:val="multilevel"/>
    <w:tmpl w:val="AE0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645C0"/>
    <w:multiLevelType w:val="multilevel"/>
    <w:tmpl w:val="45346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B64AD"/>
    <w:multiLevelType w:val="multilevel"/>
    <w:tmpl w:val="1CF8C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10F05"/>
    <w:multiLevelType w:val="multilevel"/>
    <w:tmpl w:val="C6B0C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104F5"/>
    <w:multiLevelType w:val="hybridMultilevel"/>
    <w:tmpl w:val="6FEC54E6"/>
    <w:lvl w:ilvl="0" w:tplc="5A2CAE7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C263D"/>
    <w:multiLevelType w:val="multilevel"/>
    <w:tmpl w:val="5332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35F11"/>
    <w:multiLevelType w:val="multilevel"/>
    <w:tmpl w:val="B3FE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F5B84"/>
    <w:multiLevelType w:val="multilevel"/>
    <w:tmpl w:val="5F00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34763"/>
    <w:multiLevelType w:val="multilevel"/>
    <w:tmpl w:val="BFD2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2068D"/>
    <w:multiLevelType w:val="hybridMultilevel"/>
    <w:tmpl w:val="74BA8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71028"/>
    <w:multiLevelType w:val="multilevel"/>
    <w:tmpl w:val="261A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375A8"/>
    <w:multiLevelType w:val="multilevel"/>
    <w:tmpl w:val="D9EC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54EF6"/>
    <w:multiLevelType w:val="multilevel"/>
    <w:tmpl w:val="FA26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8C"/>
    <w:multiLevelType w:val="multilevel"/>
    <w:tmpl w:val="CF2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76E63"/>
    <w:multiLevelType w:val="multilevel"/>
    <w:tmpl w:val="48E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6"/>
  </w:num>
  <w:num w:numId="4">
    <w:abstractNumId w:val="8"/>
  </w:num>
  <w:num w:numId="5">
    <w:abstractNumId w:val="18"/>
  </w:num>
  <w:num w:numId="6">
    <w:abstractNumId w:val="3"/>
  </w:num>
  <w:num w:numId="7">
    <w:abstractNumId w:val="10"/>
  </w:num>
  <w:num w:numId="8">
    <w:abstractNumId w:val="12"/>
  </w:num>
  <w:num w:numId="9">
    <w:abstractNumId w:val="19"/>
  </w:num>
  <w:num w:numId="10">
    <w:abstractNumId w:val="5"/>
  </w:num>
  <w:num w:numId="11">
    <w:abstractNumId w:val="4"/>
  </w:num>
  <w:num w:numId="12">
    <w:abstractNumId w:val="13"/>
  </w:num>
  <w:num w:numId="13">
    <w:abstractNumId w:val="17"/>
  </w:num>
  <w:num w:numId="14">
    <w:abstractNumId w:val="7"/>
  </w:num>
  <w:num w:numId="15">
    <w:abstractNumId w:val="0"/>
  </w:num>
  <w:num w:numId="16">
    <w:abstractNumId w:val="16"/>
  </w:num>
  <w:num w:numId="17">
    <w:abstractNumId w:val="1"/>
  </w:num>
  <w:num w:numId="18">
    <w:abstractNumId w:val="15"/>
  </w:num>
  <w:num w:numId="19">
    <w:abstractNumId w:val="14"/>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10"/>
    <w:rsid w:val="00057D0C"/>
    <w:rsid w:val="00080906"/>
    <w:rsid w:val="0008623D"/>
    <w:rsid w:val="000B62D1"/>
    <w:rsid w:val="00112A2D"/>
    <w:rsid w:val="0014249F"/>
    <w:rsid w:val="0015681C"/>
    <w:rsid w:val="002C6E56"/>
    <w:rsid w:val="002F22F0"/>
    <w:rsid w:val="00401BF2"/>
    <w:rsid w:val="00462762"/>
    <w:rsid w:val="00641B27"/>
    <w:rsid w:val="00687BBE"/>
    <w:rsid w:val="006B6978"/>
    <w:rsid w:val="006D3EA5"/>
    <w:rsid w:val="007600DC"/>
    <w:rsid w:val="007614AC"/>
    <w:rsid w:val="007E5F08"/>
    <w:rsid w:val="007E718D"/>
    <w:rsid w:val="0080543A"/>
    <w:rsid w:val="00867432"/>
    <w:rsid w:val="008F335C"/>
    <w:rsid w:val="00943801"/>
    <w:rsid w:val="00A670AE"/>
    <w:rsid w:val="00A708A3"/>
    <w:rsid w:val="00A824F6"/>
    <w:rsid w:val="00A87310"/>
    <w:rsid w:val="00AB2CB9"/>
    <w:rsid w:val="00AF1A9A"/>
    <w:rsid w:val="00B50585"/>
    <w:rsid w:val="00BD7463"/>
    <w:rsid w:val="00C52E85"/>
    <w:rsid w:val="00CA00D8"/>
    <w:rsid w:val="00D35047"/>
    <w:rsid w:val="00E1142B"/>
    <w:rsid w:val="00E13C43"/>
    <w:rsid w:val="00EB2FB8"/>
    <w:rsid w:val="00EB32F9"/>
    <w:rsid w:val="00F7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A8CF28-8E4A-4E8F-ACD6-50FFD3F7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310"/>
  </w:style>
  <w:style w:type="paragraph" w:styleId="Footer">
    <w:name w:val="footer"/>
    <w:basedOn w:val="Normal"/>
    <w:link w:val="FooterChar"/>
    <w:uiPriority w:val="99"/>
    <w:unhideWhenUsed/>
    <w:rsid w:val="00A87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310"/>
  </w:style>
  <w:style w:type="paragraph" w:styleId="NormalWeb">
    <w:name w:val="Normal (Web)"/>
    <w:basedOn w:val="Normal"/>
    <w:uiPriority w:val="99"/>
    <w:unhideWhenUsed/>
    <w:rsid w:val="00A873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0C"/>
    <w:rPr>
      <w:rFonts w:ascii="Segoe UI" w:hAnsi="Segoe UI" w:cs="Segoe UI"/>
      <w:sz w:val="18"/>
      <w:szCs w:val="18"/>
    </w:rPr>
  </w:style>
  <w:style w:type="paragraph" w:styleId="ListParagraph">
    <w:name w:val="List Paragraph"/>
    <w:basedOn w:val="Normal"/>
    <w:uiPriority w:val="34"/>
    <w:qFormat/>
    <w:rsid w:val="0015681C"/>
    <w:pPr>
      <w:ind w:left="720"/>
      <w:contextualSpacing/>
    </w:pPr>
  </w:style>
  <w:style w:type="character" w:styleId="CommentReference">
    <w:name w:val="annotation reference"/>
    <w:basedOn w:val="DefaultParagraphFont"/>
    <w:uiPriority w:val="99"/>
    <w:semiHidden/>
    <w:unhideWhenUsed/>
    <w:rsid w:val="00CA00D8"/>
    <w:rPr>
      <w:sz w:val="16"/>
      <w:szCs w:val="16"/>
    </w:rPr>
  </w:style>
  <w:style w:type="paragraph" w:styleId="CommentText">
    <w:name w:val="annotation text"/>
    <w:basedOn w:val="Normal"/>
    <w:link w:val="CommentTextChar"/>
    <w:uiPriority w:val="99"/>
    <w:semiHidden/>
    <w:unhideWhenUsed/>
    <w:rsid w:val="00CA00D8"/>
    <w:pPr>
      <w:spacing w:line="240" w:lineRule="auto"/>
    </w:pPr>
    <w:rPr>
      <w:sz w:val="20"/>
      <w:szCs w:val="20"/>
    </w:rPr>
  </w:style>
  <w:style w:type="character" w:customStyle="1" w:styleId="CommentTextChar">
    <w:name w:val="Comment Text Char"/>
    <w:basedOn w:val="DefaultParagraphFont"/>
    <w:link w:val="CommentText"/>
    <w:uiPriority w:val="99"/>
    <w:semiHidden/>
    <w:rsid w:val="00CA00D8"/>
    <w:rPr>
      <w:sz w:val="20"/>
      <w:szCs w:val="20"/>
    </w:rPr>
  </w:style>
  <w:style w:type="paragraph" w:styleId="CommentSubject">
    <w:name w:val="annotation subject"/>
    <w:basedOn w:val="CommentText"/>
    <w:next w:val="CommentText"/>
    <w:link w:val="CommentSubjectChar"/>
    <w:uiPriority w:val="99"/>
    <w:semiHidden/>
    <w:unhideWhenUsed/>
    <w:rsid w:val="00CA00D8"/>
    <w:rPr>
      <w:b/>
      <w:bCs/>
    </w:rPr>
  </w:style>
  <w:style w:type="character" w:customStyle="1" w:styleId="CommentSubjectChar">
    <w:name w:val="Comment Subject Char"/>
    <w:basedOn w:val="CommentTextChar"/>
    <w:link w:val="CommentSubject"/>
    <w:uiPriority w:val="99"/>
    <w:semiHidden/>
    <w:rsid w:val="00CA00D8"/>
    <w:rPr>
      <w:b/>
      <w:bCs/>
      <w:sz w:val="20"/>
      <w:szCs w:val="20"/>
    </w:rPr>
  </w:style>
  <w:style w:type="character" w:customStyle="1" w:styleId="apple-tab-span">
    <w:name w:val="apple-tab-span"/>
    <w:basedOn w:val="DefaultParagraphFont"/>
    <w:rsid w:val="002F22F0"/>
  </w:style>
  <w:style w:type="character" w:styleId="Hyperlink">
    <w:name w:val="Hyperlink"/>
    <w:basedOn w:val="DefaultParagraphFont"/>
    <w:uiPriority w:val="99"/>
    <w:semiHidden/>
    <w:unhideWhenUsed/>
    <w:rsid w:val="006B6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432">
      <w:bodyDiv w:val="1"/>
      <w:marLeft w:val="0"/>
      <w:marRight w:val="0"/>
      <w:marTop w:val="0"/>
      <w:marBottom w:val="0"/>
      <w:divBdr>
        <w:top w:val="none" w:sz="0" w:space="0" w:color="auto"/>
        <w:left w:val="none" w:sz="0" w:space="0" w:color="auto"/>
        <w:bottom w:val="none" w:sz="0" w:space="0" w:color="auto"/>
        <w:right w:val="none" w:sz="0" w:space="0" w:color="auto"/>
      </w:divBdr>
    </w:div>
    <w:div w:id="348262839">
      <w:bodyDiv w:val="1"/>
      <w:marLeft w:val="0"/>
      <w:marRight w:val="0"/>
      <w:marTop w:val="0"/>
      <w:marBottom w:val="0"/>
      <w:divBdr>
        <w:top w:val="none" w:sz="0" w:space="0" w:color="auto"/>
        <w:left w:val="none" w:sz="0" w:space="0" w:color="auto"/>
        <w:bottom w:val="none" w:sz="0" w:space="0" w:color="auto"/>
        <w:right w:val="none" w:sz="0" w:space="0" w:color="auto"/>
      </w:divBdr>
    </w:div>
    <w:div w:id="403259546">
      <w:bodyDiv w:val="1"/>
      <w:marLeft w:val="0"/>
      <w:marRight w:val="0"/>
      <w:marTop w:val="0"/>
      <w:marBottom w:val="0"/>
      <w:divBdr>
        <w:top w:val="none" w:sz="0" w:space="0" w:color="auto"/>
        <w:left w:val="none" w:sz="0" w:space="0" w:color="auto"/>
        <w:bottom w:val="none" w:sz="0" w:space="0" w:color="auto"/>
        <w:right w:val="none" w:sz="0" w:space="0" w:color="auto"/>
      </w:divBdr>
    </w:div>
    <w:div w:id="404180415">
      <w:bodyDiv w:val="1"/>
      <w:marLeft w:val="0"/>
      <w:marRight w:val="0"/>
      <w:marTop w:val="0"/>
      <w:marBottom w:val="0"/>
      <w:divBdr>
        <w:top w:val="none" w:sz="0" w:space="0" w:color="auto"/>
        <w:left w:val="none" w:sz="0" w:space="0" w:color="auto"/>
        <w:bottom w:val="none" w:sz="0" w:space="0" w:color="auto"/>
        <w:right w:val="none" w:sz="0" w:space="0" w:color="auto"/>
      </w:divBdr>
    </w:div>
    <w:div w:id="613828797">
      <w:bodyDiv w:val="1"/>
      <w:marLeft w:val="0"/>
      <w:marRight w:val="0"/>
      <w:marTop w:val="0"/>
      <w:marBottom w:val="0"/>
      <w:divBdr>
        <w:top w:val="none" w:sz="0" w:space="0" w:color="auto"/>
        <w:left w:val="none" w:sz="0" w:space="0" w:color="auto"/>
        <w:bottom w:val="none" w:sz="0" w:space="0" w:color="auto"/>
        <w:right w:val="none" w:sz="0" w:space="0" w:color="auto"/>
      </w:divBdr>
    </w:div>
    <w:div w:id="782110453">
      <w:bodyDiv w:val="1"/>
      <w:marLeft w:val="0"/>
      <w:marRight w:val="0"/>
      <w:marTop w:val="0"/>
      <w:marBottom w:val="0"/>
      <w:divBdr>
        <w:top w:val="none" w:sz="0" w:space="0" w:color="auto"/>
        <w:left w:val="none" w:sz="0" w:space="0" w:color="auto"/>
        <w:bottom w:val="none" w:sz="0" w:space="0" w:color="auto"/>
        <w:right w:val="none" w:sz="0" w:space="0" w:color="auto"/>
      </w:divBdr>
      <w:divsChild>
        <w:div w:id="1667590579">
          <w:marLeft w:val="0"/>
          <w:marRight w:val="0"/>
          <w:marTop w:val="0"/>
          <w:marBottom w:val="0"/>
          <w:divBdr>
            <w:top w:val="none" w:sz="0" w:space="0" w:color="auto"/>
            <w:left w:val="none" w:sz="0" w:space="0" w:color="auto"/>
            <w:bottom w:val="none" w:sz="0" w:space="0" w:color="auto"/>
            <w:right w:val="none" w:sz="0" w:space="0" w:color="auto"/>
          </w:divBdr>
        </w:div>
      </w:divsChild>
    </w:div>
    <w:div w:id="786237119">
      <w:bodyDiv w:val="1"/>
      <w:marLeft w:val="0"/>
      <w:marRight w:val="0"/>
      <w:marTop w:val="0"/>
      <w:marBottom w:val="0"/>
      <w:divBdr>
        <w:top w:val="none" w:sz="0" w:space="0" w:color="auto"/>
        <w:left w:val="none" w:sz="0" w:space="0" w:color="auto"/>
        <w:bottom w:val="none" w:sz="0" w:space="0" w:color="auto"/>
        <w:right w:val="none" w:sz="0" w:space="0" w:color="auto"/>
      </w:divBdr>
    </w:div>
    <w:div w:id="934243535">
      <w:bodyDiv w:val="1"/>
      <w:marLeft w:val="0"/>
      <w:marRight w:val="0"/>
      <w:marTop w:val="0"/>
      <w:marBottom w:val="0"/>
      <w:divBdr>
        <w:top w:val="none" w:sz="0" w:space="0" w:color="auto"/>
        <w:left w:val="none" w:sz="0" w:space="0" w:color="auto"/>
        <w:bottom w:val="none" w:sz="0" w:space="0" w:color="auto"/>
        <w:right w:val="none" w:sz="0" w:space="0" w:color="auto"/>
      </w:divBdr>
    </w:div>
    <w:div w:id="1128544138">
      <w:bodyDiv w:val="1"/>
      <w:marLeft w:val="0"/>
      <w:marRight w:val="0"/>
      <w:marTop w:val="0"/>
      <w:marBottom w:val="0"/>
      <w:divBdr>
        <w:top w:val="none" w:sz="0" w:space="0" w:color="auto"/>
        <w:left w:val="none" w:sz="0" w:space="0" w:color="auto"/>
        <w:bottom w:val="none" w:sz="0" w:space="0" w:color="auto"/>
        <w:right w:val="none" w:sz="0" w:space="0" w:color="auto"/>
      </w:divBdr>
    </w:div>
    <w:div w:id="1446730985">
      <w:bodyDiv w:val="1"/>
      <w:marLeft w:val="0"/>
      <w:marRight w:val="0"/>
      <w:marTop w:val="0"/>
      <w:marBottom w:val="0"/>
      <w:divBdr>
        <w:top w:val="none" w:sz="0" w:space="0" w:color="auto"/>
        <w:left w:val="none" w:sz="0" w:space="0" w:color="auto"/>
        <w:bottom w:val="none" w:sz="0" w:space="0" w:color="auto"/>
        <w:right w:val="none" w:sz="0" w:space="0" w:color="auto"/>
      </w:divBdr>
    </w:div>
    <w:div w:id="1669484509">
      <w:bodyDiv w:val="1"/>
      <w:marLeft w:val="0"/>
      <w:marRight w:val="0"/>
      <w:marTop w:val="0"/>
      <w:marBottom w:val="0"/>
      <w:divBdr>
        <w:top w:val="none" w:sz="0" w:space="0" w:color="auto"/>
        <w:left w:val="none" w:sz="0" w:space="0" w:color="auto"/>
        <w:bottom w:val="none" w:sz="0" w:space="0" w:color="auto"/>
        <w:right w:val="none" w:sz="0" w:space="0" w:color="auto"/>
      </w:divBdr>
    </w:div>
    <w:div w:id="1848446881">
      <w:bodyDiv w:val="1"/>
      <w:marLeft w:val="0"/>
      <w:marRight w:val="0"/>
      <w:marTop w:val="0"/>
      <w:marBottom w:val="0"/>
      <w:divBdr>
        <w:top w:val="none" w:sz="0" w:space="0" w:color="auto"/>
        <w:left w:val="none" w:sz="0" w:space="0" w:color="auto"/>
        <w:bottom w:val="none" w:sz="0" w:space="0" w:color="auto"/>
        <w:right w:val="none" w:sz="0" w:space="0" w:color="auto"/>
      </w:divBdr>
    </w:div>
    <w:div w:id="1977443809">
      <w:bodyDiv w:val="1"/>
      <w:marLeft w:val="0"/>
      <w:marRight w:val="0"/>
      <w:marTop w:val="0"/>
      <w:marBottom w:val="0"/>
      <w:divBdr>
        <w:top w:val="none" w:sz="0" w:space="0" w:color="auto"/>
        <w:left w:val="none" w:sz="0" w:space="0" w:color="auto"/>
        <w:bottom w:val="none" w:sz="0" w:space="0" w:color="auto"/>
        <w:right w:val="none" w:sz="0" w:space="0" w:color="auto"/>
      </w:divBdr>
    </w:div>
    <w:div w:id="20212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Crawford</dc:creator>
  <cp:keywords/>
  <dc:description/>
  <cp:lastModifiedBy>Robert Crawford</cp:lastModifiedBy>
  <cp:revision>2</cp:revision>
  <cp:lastPrinted>2015-12-04T19:55:00Z</cp:lastPrinted>
  <dcterms:created xsi:type="dcterms:W3CDTF">2015-12-04T20:00:00Z</dcterms:created>
  <dcterms:modified xsi:type="dcterms:W3CDTF">2015-12-04T20:00:00Z</dcterms:modified>
</cp:coreProperties>
</file>